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1897" w:rsidRDefault="00E82214">
      <w:r>
        <w:t>NOTAS PROBLEMAS</w:t>
      </w:r>
    </w:p>
    <w:p w:rsidR="00E82214" w:rsidRDefault="00E82214"/>
    <w:p w:rsidR="004F5D0B" w:rsidRDefault="004F5D0B">
      <w:r w:rsidRPr="00E82214">
        <w:rPr>
          <w:b/>
        </w:rPr>
        <w:t xml:space="preserve">Problema Diagnóstico: </w:t>
      </w:r>
      <w:r>
        <w:rPr>
          <w:b/>
          <w:lang w:val="es-MX"/>
        </w:rPr>
        <w:t>brechas en la prestación de lis servicios públicos</w:t>
      </w:r>
    </w:p>
    <w:p w:rsidR="00691A0F" w:rsidRDefault="00691A0F">
      <w:r>
        <w:t>En cuanto al servicio de acueducto en suelo rural en los últimos años se ha avanzado en la mejora de condiciones de prestación del servicio llegando a una cobertura del 76%, sin embargo, aún se mantienen retos en garantizar el acceso al agua potable, por lo que se requiere de apoyo relacionado con la potabilización del recurso hídrico.</w:t>
      </w:r>
    </w:p>
    <w:p w:rsidR="00691A0F" w:rsidRDefault="00691A0F" w:rsidP="00691A0F">
      <w:r>
        <w:t>El servicio de alcantarillado en os centros poblados carece de redes que garanticen la recolección y conducción de</w:t>
      </w:r>
      <w:r w:rsidR="004F5D0B">
        <w:t xml:space="preserve"> las aguas residuales</w:t>
      </w:r>
      <w:r>
        <w:t>. Existen 20 acueductos comunitarios que carecen de sistemas de tratamiento de aguas residuales, lo que agrava aún más la situación.</w:t>
      </w:r>
    </w:p>
    <w:p w:rsidR="00691A0F" w:rsidRDefault="00691A0F" w:rsidP="00691A0F">
      <w:r>
        <w:t xml:space="preserve">En el caso de energía, la cobertura es casi universal en suelo urbano y rural, sin embargo, el en suelo rural aún existen retos respecto al acceso al servicio en algunas viviendas rurales en sectores de difícil acceso, así como retos en términos de calidad relacionadas con prestación no continua del servicio. </w:t>
      </w:r>
    </w:p>
    <w:p w:rsidR="00E82214" w:rsidRDefault="00691A0F" w:rsidP="00691A0F">
      <w:r>
        <w:t xml:space="preserve"> Adicionalmente, se ha identificado que, en un total de 1.617 hogares, principalmente ubicados en zonas rurales dispersas, se utiliza la leña como combustible para cocinar. Lo cual puede tener impactos negativos tanto en la salud de las personas como en el medio ambiente.  </w:t>
      </w:r>
    </w:p>
    <w:p w:rsidR="00691A0F" w:rsidRDefault="00691A0F" w:rsidP="00691A0F">
      <w:r>
        <w:t xml:space="preserve">En el caso de las TIC, únicamente 4 de cada 10 hogares cuentan con acceso al servicio de internet  </w:t>
      </w:r>
    </w:p>
    <w:p w:rsidR="00E82214" w:rsidRDefault="00E82214"/>
    <w:p w:rsidR="00E82214" w:rsidRPr="00E82214" w:rsidRDefault="00E82214" w:rsidP="00E82214">
      <w:pPr>
        <w:rPr>
          <w:b/>
        </w:rPr>
      </w:pPr>
      <w:r w:rsidRPr="00E82214">
        <w:rPr>
          <w:b/>
        </w:rPr>
        <w:t xml:space="preserve">Problema Diagnóstico: </w:t>
      </w:r>
      <w:r w:rsidRPr="00E82214">
        <w:rPr>
          <w:b/>
          <w:lang w:val="es-MX"/>
        </w:rPr>
        <w:t xml:space="preserve">Necesidad de definición de alternativa para el abastecimiento y tratamiento de agua en Región Metropolitana Bogotá-Cundinamarca. </w:t>
      </w:r>
    </w:p>
    <w:p w:rsidR="00E82214" w:rsidRDefault="00E82214" w:rsidP="00E82214">
      <w:r>
        <w:t>En este aspecto se analizan dos ámbitos, a nivel de región metropolitana y Urbano-rural.  A nivel metropolitano en el tema de abastecimiento, a 2040, se necesitaría 1m3/</w:t>
      </w:r>
      <w:proofErr w:type="spellStart"/>
      <w:r>
        <w:t>seg</w:t>
      </w:r>
      <w:proofErr w:type="spellEnd"/>
      <w:r>
        <w:t xml:space="preserve">. de caudal adicional para abastecer a municipios de la región que se abastecen mediante la venta de agua en bloque. </w:t>
      </w:r>
    </w:p>
    <w:p w:rsidR="00E82214" w:rsidRDefault="00E82214" w:rsidP="00E82214">
      <w:r>
        <w:t xml:space="preserve"> En cuanto al tratamiento de aguas residuales, en Bogotá se trata actualmente aproximadamente el 30% del caudal total, situación que cambiará con la entrada en funcionamiento de PTAR Canoas. </w:t>
      </w:r>
    </w:p>
    <w:p w:rsidR="00E82214" w:rsidRDefault="00E82214" w:rsidP="00E82214">
      <w:r>
        <w:t xml:space="preserve"> Un problema adicional es el aumento considerable en la carga de materia orgánica contaminante generada por la industria en la última década. Se ha registrado un aumento de aproximadamente cinco veces en dicha carga, lo que representa un desafío adicional para la calidad del agua y la salud ambiental de la región.</w:t>
      </w:r>
    </w:p>
    <w:p w:rsidR="00E82214" w:rsidRDefault="00E82214" w:rsidP="00E82214">
      <w:r>
        <w:t xml:space="preserve">En este sentido se hace necesario </w:t>
      </w:r>
      <w:r w:rsidRPr="00E82214">
        <w:t xml:space="preserve">Coordinar </w:t>
      </w:r>
      <w:r>
        <w:t xml:space="preserve">una estrategia regional </w:t>
      </w:r>
      <w:r w:rsidRPr="00E82214">
        <w:t xml:space="preserve">con EAAB </w:t>
      </w:r>
      <w:r>
        <w:t xml:space="preserve">y la región metropolitana con el fin de definir e empezar la concreción de </w:t>
      </w:r>
      <w:r w:rsidRPr="00E82214">
        <w:t xml:space="preserve">la alternativa </w:t>
      </w:r>
      <w:r>
        <w:t xml:space="preserve">que garantice el abastecimiento de agua potable a los municipios de Bogotá Región, así como que de garantía que se trataran las aguas residuales previo a su vertimiento en el Río Bogotá o cuerpos hídricos. </w:t>
      </w:r>
    </w:p>
    <w:p w:rsidR="004F5D0B" w:rsidRDefault="004F5D0B" w:rsidP="00E82214"/>
    <w:p w:rsidR="004F5D0B" w:rsidRDefault="004F5D0B" w:rsidP="00E82214"/>
    <w:p w:rsidR="004F5D0B" w:rsidRPr="004F5D0B" w:rsidRDefault="004F5D0B" w:rsidP="004F5D0B">
      <w:pPr>
        <w:rPr>
          <w:b/>
        </w:rPr>
      </w:pPr>
      <w:r>
        <w:rPr>
          <w:b/>
        </w:rPr>
        <w:lastRenderedPageBreak/>
        <w:t xml:space="preserve">Problema: </w:t>
      </w:r>
      <w:r w:rsidRPr="004F5D0B">
        <w:rPr>
          <w:b/>
        </w:rPr>
        <w:t>Deficiencia</w:t>
      </w:r>
      <w:r>
        <w:rPr>
          <w:b/>
        </w:rPr>
        <w:t xml:space="preserve"> </w:t>
      </w:r>
      <w:r w:rsidRPr="004F5D0B">
        <w:rPr>
          <w:b/>
        </w:rPr>
        <w:t xml:space="preserve">en la infraestructura, bienes y servicios públicos y sociales para atender demanda </w:t>
      </w:r>
      <w:r>
        <w:rPr>
          <w:b/>
        </w:rPr>
        <w:t xml:space="preserve">futura </w:t>
      </w:r>
      <w:r w:rsidRPr="004F5D0B">
        <w:rPr>
          <w:b/>
        </w:rPr>
        <w:t>de vivienda.</w:t>
      </w:r>
    </w:p>
    <w:p w:rsidR="004F5D0B" w:rsidRDefault="004F5D0B" w:rsidP="00E82214">
      <w:r w:rsidRPr="004F5D0B">
        <w:t>El Plan de Ordenamiento Territorial, plantea un alto componente de renovación urbana y de recuperación de áreas deterioradas como el centro de la ciudad. En este sentido, existen retos relacionados con la renovación o sustitución de infraestructura para garantizar el soporte territorial de la prestación de los servicios públicos en condiciones de eficiencia.</w:t>
      </w:r>
    </w:p>
    <w:p w:rsidR="004F5D0B" w:rsidRDefault="004F5D0B" w:rsidP="00E82214">
      <w:r>
        <w:t xml:space="preserve">Es así como se requiere de obras por parte de las Empresas de Servicios públicos que den respuesta a la generación de viviendas y desarrollo de nuevas actividades económicas especialmente en suelos de tratamiento de renovación urbana. </w:t>
      </w:r>
    </w:p>
    <w:p w:rsidR="004F5D0B" w:rsidRPr="00E82214" w:rsidRDefault="004F5D0B" w:rsidP="00E82214">
      <w:r>
        <w:t>Igualmente se requiere de una respuesta de la ciudad respecto a bienes</w:t>
      </w:r>
      <w:r w:rsidR="00214C2C">
        <w:t xml:space="preserve"> sociales como los cementerios, que requieren de una ampliación y condiciones de operación y mantenimiento para garantizar la eficiente prestación de los servicios.</w:t>
      </w:r>
    </w:p>
    <w:p w:rsidR="00E82214" w:rsidRPr="00A52024" w:rsidRDefault="00A52024" w:rsidP="00E82214">
      <w:pPr>
        <w:rPr>
          <w:b/>
        </w:rPr>
      </w:pPr>
      <w:r>
        <w:rPr>
          <w:b/>
        </w:rPr>
        <w:t xml:space="preserve">Esquema </w:t>
      </w:r>
      <w:bookmarkStart w:id="0" w:name="_GoBack"/>
      <w:bookmarkEnd w:id="0"/>
      <w:r w:rsidRPr="00A52024">
        <w:rPr>
          <w:b/>
        </w:rPr>
        <w:t xml:space="preserve">Alumbrado Público </w:t>
      </w:r>
    </w:p>
    <w:p w:rsidR="00A52024" w:rsidRDefault="00A52024" w:rsidP="00E82214">
      <w:r>
        <w:t xml:space="preserve">El actual esquema de prestación de alumbrado público se adoptó en el año 1997 mediante el convenio 766 y requiere de una actualización. Con el fin de mantener continuidad al Servicio se firmó 14 de noviembre de 2023 el </w:t>
      </w:r>
      <w:proofErr w:type="spellStart"/>
      <w:r>
        <w:t>Otrosi</w:t>
      </w:r>
      <w:proofErr w:type="spellEnd"/>
      <w:r>
        <w:t xml:space="preserve"> 4 ampliando el plazo del convenio a noviembre del año 2026. Por esta razón se requiere de coordinar con la UAESP, la definición de un esquema que redunde en la mejora en la prestación del servicio y la optimización de los recursos públicos </w:t>
      </w:r>
    </w:p>
    <w:p w:rsidR="00A52024" w:rsidRDefault="00A52024" w:rsidP="00E82214"/>
    <w:sectPr w:rsidR="00A5202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0B7C15"/>
    <w:multiLevelType w:val="multilevel"/>
    <w:tmpl w:val="B1385A88"/>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214"/>
    <w:rsid w:val="00067A6A"/>
    <w:rsid w:val="00081D71"/>
    <w:rsid w:val="000F5F3C"/>
    <w:rsid w:val="00214C2C"/>
    <w:rsid w:val="00262132"/>
    <w:rsid w:val="00270808"/>
    <w:rsid w:val="00302DCA"/>
    <w:rsid w:val="00306D93"/>
    <w:rsid w:val="003B76FF"/>
    <w:rsid w:val="00481897"/>
    <w:rsid w:val="004F5D0B"/>
    <w:rsid w:val="00584EA0"/>
    <w:rsid w:val="005B7FFB"/>
    <w:rsid w:val="00691A0F"/>
    <w:rsid w:val="006D6E1C"/>
    <w:rsid w:val="00927420"/>
    <w:rsid w:val="00A52024"/>
    <w:rsid w:val="00A81F3F"/>
    <w:rsid w:val="00AA7385"/>
    <w:rsid w:val="00BA7830"/>
    <w:rsid w:val="00BD7AC0"/>
    <w:rsid w:val="00CC192E"/>
    <w:rsid w:val="00D108F1"/>
    <w:rsid w:val="00D70FD2"/>
    <w:rsid w:val="00E82214"/>
    <w:rsid w:val="00E85C60"/>
    <w:rsid w:val="00E97203"/>
    <w:rsid w:val="00F13404"/>
    <w:rsid w:val="00F360F5"/>
    <w:rsid w:val="00F70039"/>
    <w:rsid w:val="00FE68F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E4B11"/>
  <w15:chartTrackingRefBased/>
  <w15:docId w15:val="{C9964851-4784-4B2B-B3CD-C7C88AFDD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autoRedefine/>
    <w:uiPriority w:val="9"/>
    <w:qFormat/>
    <w:rsid w:val="00E97203"/>
    <w:pPr>
      <w:keepNext/>
      <w:keepLines/>
      <w:numPr>
        <w:numId w:val="2"/>
      </w:numPr>
      <w:spacing w:before="240" w:after="0"/>
      <w:outlineLvl w:val="0"/>
    </w:pPr>
    <w:rPr>
      <w:rFonts w:asciiTheme="majorHAnsi" w:eastAsiaTheme="majorEastAsia" w:hAnsiTheme="majorHAnsi" w:cstheme="majorBidi"/>
      <w:b/>
      <w:szCs w:val="32"/>
    </w:rPr>
  </w:style>
  <w:style w:type="paragraph" w:styleId="Ttulo2">
    <w:name w:val="heading 2"/>
    <w:basedOn w:val="Normal"/>
    <w:next w:val="Normal"/>
    <w:link w:val="Ttulo2Car"/>
    <w:autoRedefine/>
    <w:uiPriority w:val="9"/>
    <w:semiHidden/>
    <w:unhideWhenUsed/>
    <w:qFormat/>
    <w:rsid w:val="00E97203"/>
    <w:pPr>
      <w:keepNext/>
      <w:keepLines/>
      <w:numPr>
        <w:ilvl w:val="1"/>
        <w:numId w:val="1"/>
      </w:numPr>
      <w:spacing w:before="40" w:after="0"/>
      <w:outlineLvl w:val="1"/>
    </w:pPr>
    <w:rPr>
      <w:rFonts w:asciiTheme="majorHAnsi" w:eastAsiaTheme="majorEastAsia" w:hAnsiTheme="majorHAnsi" w:cstheme="majorBidi"/>
      <w:b/>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97203"/>
    <w:rPr>
      <w:rFonts w:asciiTheme="majorHAnsi" w:eastAsiaTheme="majorEastAsia" w:hAnsiTheme="majorHAnsi" w:cstheme="majorBidi"/>
      <w:b/>
      <w:szCs w:val="32"/>
    </w:rPr>
  </w:style>
  <w:style w:type="character" w:customStyle="1" w:styleId="Ttulo2Car">
    <w:name w:val="Título 2 Car"/>
    <w:basedOn w:val="Fuentedeprrafopredeter"/>
    <w:link w:val="Ttulo2"/>
    <w:uiPriority w:val="9"/>
    <w:semiHidden/>
    <w:rsid w:val="00E97203"/>
    <w:rPr>
      <w:rFonts w:asciiTheme="majorHAnsi" w:eastAsiaTheme="majorEastAsia" w:hAnsiTheme="majorHAnsi" w:cstheme="majorBidi"/>
      <w:b/>
      <w:szCs w:val="26"/>
    </w:rPr>
  </w:style>
  <w:style w:type="paragraph" w:styleId="TtuloTDC">
    <w:name w:val="TOC Heading"/>
    <w:basedOn w:val="Ttulo1"/>
    <w:next w:val="Normal"/>
    <w:autoRedefine/>
    <w:uiPriority w:val="39"/>
    <w:unhideWhenUsed/>
    <w:qFormat/>
    <w:rsid w:val="00E97203"/>
    <w:pPr>
      <w:numPr>
        <w:numId w:val="0"/>
      </w:numPr>
      <w:jc w:val="center"/>
      <w:outlineLvl w:val="9"/>
    </w:pPr>
    <w:rPr>
      <w:lang w:eastAsia="es-CO"/>
    </w:rPr>
  </w:style>
  <w:style w:type="paragraph" w:styleId="NormalWeb">
    <w:name w:val="Normal (Web)"/>
    <w:basedOn w:val="Normal"/>
    <w:uiPriority w:val="99"/>
    <w:semiHidden/>
    <w:unhideWhenUsed/>
    <w:rsid w:val="00E82214"/>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520979">
      <w:bodyDiv w:val="1"/>
      <w:marLeft w:val="0"/>
      <w:marRight w:val="0"/>
      <w:marTop w:val="0"/>
      <w:marBottom w:val="0"/>
      <w:divBdr>
        <w:top w:val="none" w:sz="0" w:space="0" w:color="auto"/>
        <w:left w:val="none" w:sz="0" w:space="0" w:color="auto"/>
        <w:bottom w:val="none" w:sz="0" w:space="0" w:color="auto"/>
        <w:right w:val="none" w:sz="0" w:space="0" w:color="auto"/>
      </w:divBdr>
    </w:div>
    <w:div w:id="1335035622">
      <w:bodyDiv w:val="1"/>
      <w:marLeft w:val="0"/>
      <w:marRight w:val="0"/>
      <w:marTop w:val="0"/>
      <w:marBottom w:val="0"/>
      <w:divBdr>
        <w:top w:val="none" w:sz="0" w:space="0" w:color="auto"/>
        <w:left w:val="none" w:sz="0" w:space="0" w:color="auto"/>
        <w:bottom w:val="none" w:sz="0" w:space="0" w:color="auto"/>
        <w:right w:val="none" w:sz="0" w:space="0" w:color="auto"/>
      </w:divBdr>
    </w:div>
    <w:div w:id="175966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640</Words>
  <Characters>3522</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Santiago Jose Vargas Triviño</dc:creator>
  <cp:keywords/>
  <dc:description/>
  <cp:lastModifiedBy>Santiago Jose Vargas Triviño</cp:lastModifiedBy>
  <cp:revision>3</cp:revision>
  <dcterms:created xsi:type="dcterms:W3CDTF">2024-02-10T11:38:00Z</dcterms:created>
  <dcterms:modified xsi:type="dcterms:W3CDTF">2024-02-10T12:38:00Z</dcterms:modified>
</cp:coreProperties>
</file>